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红都学校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《资产管理制度》</w:t>
      </w:r>
    </w:p>
    <w:p>
      <w:pPr>
        <w:pStyle w:val="9"/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本办法所称资产系指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拥有的实物资产，主要指固定资产、存货及低值易耗品。固定资产指使用期限在一年以上的资产，包括房屋建筑物、机器设备、运输设备、电气设备、通讯设备、办公设备、工具器械、食堂设备等，存货是指公司在生产过程中为销售或耗用而储备的各种物品，包括产品、半成品、原材料、燃料、包装物、办公用品、低值易耗品等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固定资产的购置、使用、内部转移、报废、转让、变卖、出租、抵押、赠送、盘盈、盘亏等应履行登记和报账手续。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实物管理部门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所有实物资产由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部统一管理。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（一）、房屋建筑物、电气设备由公司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部制定专人负责管理。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厨房</w:t>
      </w:r>
      <w:r>
        <w:rPr>
          <w:rFonts w:hint="eastAsia" w:ascii="楷体" w:hAnsi="楷体" w:eastAsia="楷体" w:cs="楷体"/>
          <w:sz w:val="32"/>
          <w:szCs w:val="32"/>
        </w:rPr>
        <w:t>设备、工具设备、办公设备由使用部门指定专人负责管理。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（三）、所有物品档案材料应在采购完成后即时归档，由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保管室管</w:t>
      </w:r>
      <w:r>
        <w:rPr>
          <w:rFonts w:hint="eastAsia" w:ascii="楷体" w:hAnsi="楷体" w:eastAsia="楷体" w:cs="楷体"/>
          <w:sz w:val="32"/>
          <w:szCs w:val="32"/>
        </w:rPr>
        <w:t>理。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（四）、财务部指定专人就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资产进行汇总管理，应汇同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学校后勤</w:t>
      </w:r>
      <w:r>
        <w:rPr>
          <w:rFonts w:hint="eastAsia" w:ascii="楷体" w:hAnsi="楷体" w:eastAsia="楷体" w:cs="楷体"/>
          <w:sz w:val="32"/>
          <w:szCs w:val="32"/>
        </w:rPr>
        <w:t>部定期进行盘点，并就盘点情况作出书面报告，财务部不定期派人抽查。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（五）、资产核实是财务部工作检查的一项重要内容。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四、资产登记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固定资产取得后即归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部统一管理，依其类别及会计科目关系，予以分类编号，建立固定资产登记台账，并粘贴标签，每年至少盘点一次，并形成“固定资产年度盘点表”存档被查。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其他办公用品等低值易耗材根据每月各部门需求进行申购， 购回后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部要指定专人管理，并按明细建立资产台账，登记其进、销、存的变动情况，每月至少盘点一次。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五、</w:t>
      </w:r>
      <w:r>
        <w:rPr>
          <w:rFonts w:hint="eastAsia" w:ascii="楷体" w:hAnsi="楷体" w:eastAsia="楷体" w:cs="楷体"/>
          <w:sz w:val="32"/>
          <w:szCs w:val="32"/>
        </w:rPr>
        <w:t>固定资产购置及登记</w:t>
      </w:r>
    </w:p>
    <w:p>
      <w:pPr>
        <w:spacing w:line="360" w:lineRule="auto"/>
        <w:ind w:firstLine="160" w:firstLineChars="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（一）、购置手续</w:t>
      </w:r>
    </w:p>
    <w:p>
      <w:pPr>
        <w:spacing w:line="360" w:lineRule="auto"/>
        <w:ind w:firstLine="160" w:firstLineChars="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业务部门因工作业务需要，添置固定资产，应提出书面申请，经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部审核后，报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审批，按审批的标准、数量，有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部会同相关部门具体执行。购置后由使用部门或保管部门验收签字，报财务部结算。</w:t>
      </w:r>
    </w:p>
    <w:p>
      <w:pPr>
        <w:spacing w:line="360" w:lineRule="auto"/>
        <w:ind w:firstLine="160" w:firstLineChars="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（二）、登记</w:t>
      </w:r>
    </w:p>
    <w:p>
      <w:pPr>
        <w:spacing w:line="360" w:lineRule="auto"/>
        <w:ind w:firstLine="160" w:firstLineChars="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财务部在入账同时，应同时登记“固定资产卡片”，按项目填列，并请验收人、保管人签字，由财务部存档保管。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六、</w:t>
      </w:r>
      <w:r>
        <w:rPr>
          <w:rFonts w:hint="eastAsia" w:ascii="楷体" w:hAnsi="楷体" w:eastAsia="楷体" w:cs="楷体"/>
          <w:sz w:val="32"/>
          <w:szCs w:val="32"/>
        </w:rPr>
        <w:t>固定资产修理</w:t>
      </w:r>
    </w:p>
    <w:p>
      <w:pPr>
        <w:pStyle w:val="9"/>
        <w:spacing w:line="240" w:lineRule="auto"/>
        <w:ind w:left="0"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固定资产需要修理的，由使用部门填写报废申请单，注明报废原因，经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后勤部</w:t>
      </w:r>
      <w:r>
        <w:rPr>
          <w:rFonts w:hint="eastAsia" w:ascii="楷体" w:hAnsi="楷体" w:eastAsia="楷体" w:cs="楷体"/>
          <w:sz w:val="32"/>
          <w:szCs w:val="32"/>
        </w:rPr>
        <w:t>审核后，报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审批。修理完毕，经验收合格，财务部予以付款。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七、</w:t>
      </w:r>
      <w:r>
        <w:rPr>
          <w:rFonts w:hint="eastAsia" w:ascii="楷体" w:hAnsi="楷体" w:eastAsia="楷体" w:cs="楷体"/>
          <w:sz w:val="32"/>
          <w:szCs w:val="32"/>
        </w:rPr>
        <w:t>固定资产报废</w:t>
      </w:r>
    </w:p>
    <w:p>
      <w:pPr>
        <w:pStyle w:val="9"/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固定资产报废的，由使用部门填写报废申请单，注明报废原因，经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部审核后，送财务部签注处理意见，报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批准。财务部据此进行相应财务处理，并有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后勤</w:t>
      </w:r>
      <w:r>
        <w:rPr>
          <w:rFonts w:hint="eastAsia" w:ascii="楷体" w:hAnsi="楷体" w:eastAsia="楷体" w:cs="楷体"/>
          <w:sz w:val="32"/>
          <w:szCs w:val="32"/>
        </w:rPr>
        <w:t>部负责具体的报废和残值回收办理。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八、</w:t>
      </w:r>
      <w:r>
        <w:rPr>
          <w:rFonts w:hint="eastAsia" w:ascii="楷体" w:hAnsi="楷体" w:eastAsia="楷体" w:cs="楷体"/>
          <w:sz w:val="32"/>
          <w:szCs w:val="32"/>
        </w:rPr>
        <w:t>存货的购进</w:t>
      </w:r>
    </w:p>
    <w:p>
      <w:pPr>
        <w:spacing w:line="360" w:lineRule="auto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业务部门根据业务需要购进原料、商品等，应向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提出书面申请，经部门负责人签署意见，报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批准后，有相关业务部门执行。财务部根据合同约定进行付款。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九、</w:t>
      </w:r>
      <w:r>
        <w:rPr>
          <w:rFonts w:hint="eastAsia" w:ascii="楷体" w:hAnsi="楷体" w:eastAsia="楷体" w:cs="楷体"/>
          <w:sz w:val="32"/>
          <w:szCs w:val="32"/>
        </w:rPr>
        <w:t>存货的入库</w:t>
      </w:r>
    </w:p>
    <w:p>
      <w:pPr>
        <w:pStyle w:val="9"/>
        <w:spacing w:line="360" w:lineRule="auto"/>
        <w:ind w:left="420" w:firstLine="320" w:firstLineChars="1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购进的存货，入库前应办理验收入库手续：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（一）、核对实物规格、型号、生产单位是否与合同一致。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（二）、观察包装是否完好。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（三）、清点实物数量。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（四）、完成品质检测。</w:t>
      </w:r>
    </w:p>
    <w:p>
      <w:pPr>
        <w:pStyle w:val="9"/>
        <w:spacing w:line="360" w:lineRule="auto"/>
        <w:ind w:left="420" w:firstLine="0" w:firstLineChars="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（五）、填制“入库单”，记录实物帐卡。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十、存货的出库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（一）、需要领用存货时，领货部门必须履行领用申请程序，经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相关领导批准后，填制出库单。出库单是报告存货保管人已按照发货指令将存货发出，并办妥交接签字手续的程序性凭据。凡未办理出库单手续者，一律不得发货，禁止以白条抵库。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（二）、按规定填写出库单全部内容，空白行应盖“以下空白”章，或划线。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（三）、存货发出并经清点完毕，应盖“存货已发出”章。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十一、存货的仓储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（一）、存货存放地点应符合防火、防盗、防潮、防尘标准，大宗商品仓储如有货架应达到安全要求。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（二）、仓储商品应严格按照规定存放，有条件的应分类挂卡。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十二、保管人员应履行以下基本职责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（一）、应妥善保管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资产。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（二）、若资产存放于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仓库的情况下，应禁止无关人员进入仓库，并保持库房的清洁、卫生，库容整齐。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（三）、向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申请配备适当的消防器材，并定期检查，杜绝隐患。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（四）、经常核对账、卡、物，发现异常情况，及时上报处理。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十三、存货减损处理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（一）、存货在保管期间，由于各种原因发生毁损、变质、溢缺，应认真填制“毁损报告单”，上报审批。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二）、根据审批意见，存货保管人员作减少事务处理，财务部分别不同情况进行账务处理。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十四、实物账册管理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（一）、存货明细账是记录实物的收入、发出、结存情况的重要账册，应按照品种、规格登记，并妥善保管，年终装订成册，至少保管5年。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（二）、记账应有合法凭证，凭证应完整，并遵守以下规则：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1、根据入库单记收入，根据出库单记发出，有关资料作为其附件，分别按时间顺序编号，作为记账索引号，按月装订成册，以便日后查询。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2、账面不准撕毁，遇有差错，可以划红线加盖私章校正，账面记账严禁挖、补、刮、擦和用涂改液。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3、账面记录采用永续盘存制，每次发生增减变动，及时结存余额。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4、启用账簿，应在账簿封面载明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名称、年度，在启用页上载明账簿名称，启用时间，由记账人员签名或盖章，并加盖公章。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5、调动工作岗位时，应注明交接日期，并由移交人、监交人、接收人签名或盖章。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十五、财产盘点方式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</w:t>
      </w:r>
      <w:r>
        <w:rPr>
          <w:rFonts w:hint="eastAsia" w:ascii="楷体" w:hAnsi="楷体" w:eastAsia="楷体" w:cs="楷体"/>
          <w:sz w:val="32"/>
          <w:szCs w:val="32"/>
        </w:rPr>
        <w:t>年盘点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财务部会同管理部门及相关部门于年度终了一个月内对固定资产、存货、存货资金进行全面清查盘点。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学期</w:t>
      </w:r>
      <w:r>
        <w:rPr>
          <w:rFonts w:hint="eastAsia" w:ascii="楷体" w:hAnsi="楷体" w:eastAsia="楷体" w:cs="楷体"/>
          <w:sz w:val="32"/>
          <w:szCs w:val="32"/>
        </w:rPr>
        <w:t>盘点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财务部会同管理部门于每年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月30日对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资产进行盘点一次。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（三）、月末盘点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财务部会同管理部门于月份终了对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贵重物品及常用资产进行盘查清点。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（四）、不定期抽点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由财务部及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制定部门，经领导批准，对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财产进行不定期随机抽查。不定期抽点，以不预先通知为原则。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十六、盘点人员及其职责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 总盘人：由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制定人员担任，负责年度盘点工作的总负责，督导盘点工作的进行及异常事项的裁决。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（二）、主盘人：由财务总监担任，负责年中、月份盘点工作的推动及实施。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（三）、复盘人：由财务总监根据需要制定专人担任，负责盘点工作的监督。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（四）、盘点人：由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财务部指派专人担任，负责点计数量。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（五）、会点人：由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办公室指派，负责会点计记录，于盘点人核对，确实数据工作。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（六）、协点人：由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办公室指派，负责盘点时料品搬运及整理工作。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（七）、所有参加盘点工作的人员，应充分了解本身工作职责及应注意事项。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十七、盘点准备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（一）、盘点编组：由财务部负责人于每次盘点前，依盘点种类、项目编排“盘点人员编组表”，呈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核定后，公布实施。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盘点物品准备：保管部门与保管人应将准备盘点的物品整理准备妥当，存货应堆放整齐、集中、分类，并置标识牌。现金、有价证券等应按类别整理并列清单，各项财务账册应于盘点前登记完毕，盘点期间已收到料件而未办妥入账手续的，应分开存放，并予以标示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十八、盘点实施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（一）、财务部应就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学年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学期</w:t>
      </w:r>
      <w:r>
        <w:rPr>
          <w:rFonts w:hint="eastAsia" w:ascii="楷体" w:hAnsi="楷体" w:eastAsia="楷体" w:cs="楷体"/>
          <w:sz w:val="32"/>
          <w:szCs w:val="32"/>
        </w:rPr>
        <w:t>，抽查项目、部门、时间等情况呈报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经核准后，签发盘点通知，并负责召集各部门盘点负责人召开盘点协调会，拟定盘点计划，限期办理盘点工作。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（二）、盘点期间，除紧急情况外，暂停收发物品。至于生产需用品，经批准可不移动，但应标示出。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（三）、盘点应精确计量，避免主观臆断，避免目测方式。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（四）、盘点过程应按指定顺序进行，不能遗漏、重复。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（五）、盘点时，会点人应依据盘点人实际盘点数，详实记录于“盘点统计表”，核对无误后，在表上相互签名确认。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（六）、盘点完毕，盘点人员应把“盘点统计表”汇总编制“盘存表”，一式两份，一份由保管部门自存，一份送交财务部，供核算盘点盈亏金额。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十九、盘点报告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（一）、财务部应依“盘存表”编制“盘点盈亏报告表”，填写差异原因，说明情况，提出处理意见及对策，报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校长</w:t>
      </w:r>
      <w:r>
        <w:rPr>
          <w:rFonts w:hint="eastAsia" w:ascii="楷体" w:hAnsi="楷体" w:eastAsia="楷体" w:cs="楷体"/>
          <w:sz w:val="32"/>
          <w:szCs w:val="32"/>
        </w:rPr>
        <w:t>签核。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（二）、盘点报告应于盘点结束后一周内呈报上级核阅，财务部依据审批意见进行账项调整。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二十、本制度解释权属财务部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4FA"/>
    <w:multiLevelType w:val="multilevel"/>
    <w:tmpl w:val="486B64FA"/>
    <w:lvl w:ilvl="0" w:tentative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193"/>
    <w:rsid w:val="00012095"/>
    <w:rsid w:val="00102E1B"/>
    <w:rsid w:val="00233261"/>
    <w:rsid w:val="00406709"/>
    <w:rsid w:val="005C6252"/>
    <w:rsid w:val="00655387"/>
    <w:rsid w:val="00846ECD"/>
    <w:rsid w:val="008F769A"/>
    <w:rsid w:val="00AF1193"/>
    <w:rsid w:val="00B60588"/>
    <w:rsid w:val="00C12A25"/>
    <w:rsid w:val="00C63618"/>
    <w:rsid w:val="00DD7300"/>
    <w:rsid w:val="00E71F87"/>
    <w:rsid w:val="00EA3284"/>
    <w:rsid w:val="00F92C75"/>
    <w:rsid w:val="52DB6646"/>
    <w:rsid w:val="715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6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96617-587E-4B10-9C49-CF9A4B184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513</Words>
  <Characters>2926</Characters>
  <Lines>24</Lines>
  <Paragraphs>6</Paragraphs>
  <TotalTime>98</TotalTime>
  <ScaleCrop>false</ScaleCrop>
  <LinksUpToDate>false</LinksUpToDate>
  <CharactersWithSpaces>3433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2017-08-28T02:13:00Z</dcterms:created>
  <dc:creator>aaa</dc:creator>
  <cp:lastModifiedBy>李卿雨</cp:lastModifiedBy>
  <dcterms:modified xsi:type="dcterms:W3CDTF">2022-05-07T05:35:47Z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